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7"/>
        <w:gridCol w:w="277"/>
        <w:gridCol w:w="3337"/>
        <w:gridCol w:w="468"/>
        <w:gridCol w:w="781"/>
        <w:gridCol w:w="3352"/>
      </w:tblGrid>
      <w:tr w:rsidR="00AE72C5" w:rsidTr="00FE06FF">
        <w:trPr>
          <w:trHeight w:val="558"/>
        </w:trPr>
        <w:tc>
          <w:tcPr>
            <w:tcW w:w="9782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FE06FF">
        <w:trPr>
          <w:trHeight w:val="277"/>
        </w:trPr>
        <w:tc>
          <w:tcPr>
            <w:tcW w:w="9782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E06FF">
        <w:trPr>
          <w:trHeight w:val="277"/>
        </w:trPr>
        <w:tc>
          <w:tcPr>
            <w:tcW w:w="1844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938" w:type="dxa"/>
            <w:gridSpan w:val="4"/>
          </w:tcPr>
          <w:p w:rsidR="00AE72C5" w:rsidRPr="00E4455A" w:rsidRDefault="00DE355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E3557">
              <w:rPr>
                <w:rFonts w:asciiTheme="minorHAnsi" w:hAnsiTheme="minorHAnsi" w:cstheme="minorHAnsi"/>
                <w:sz w:val="18"/>
                <w:szCs w:val="18"/>
              </w:rPr>
              <w:t>Regionální centrum speciální optiky a optoelektronických systémů "TOPTEC"</w:t>
            </w:r>
          </w:p>
        </w:tc>
      </w:tr>
      <w:tr w:rsidR="00E71CB7" w:rsidTr="00FE06FF">
        <w:trPr>
          <w:trHeight w:val="277"/>
        </w:trPr>
        <w:tc>
          <w:tcPr>
            <w:tcW w:w="1844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938" w:type="dxa"/>
            <w:gridSpan w:val="4"/>
          </w:tcPr>
          <w:p w:rsidR="00E71CB7" w:rsidRPr="00E4455A" w:rsidRDefault="00DE355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E3557">
              <w:rPr>
                <w:rFonts w:asciiTheme="minorHAnsi" w:hAnsiTheme="minorHAnsi" w:cstheme="minorHAnsi"/>
                <w:sz w:val="18"/>
                <w:szCs w:val="18"/>
              </w:rPr>
              <w:t>Ústav fyziky plazmatu AV ČR, v.v.i.</w:t>
            </w:r>
          </w:p>
        </w:tc>
      </w:tr>
      <w:tr w:rsidR="00E71CB7" w:rsidTr="00FE06FF">
        <w:trPr>
          <w:trHeight w:val="277"/>
        </w:trPr>
        <w:tc>
          <w:tcPr>
            <w:tcW w:w="1844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938" w:type="dxa"/>
            <w:gridSpan w:val="4"/>
          </w:tcPr>
          <w:p w:rsidR="00E71CB7" w:rsidRPr="00E4455A" w:rsidRDefault="00DE355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E3557">
              <w:rPr>
                <w:rFonts w:asciiTheme="minorHAnsi" w:hAnsiTheme="minorHAnsi" w:cstheme="minorHAnsi"/>
                <w:sz w:val="18"/>
                <w:szCs w:val="18"/>
              </w:rPr>
              <w:t>CZ.1.05/2.1.00/03.0079</w:t>
            </w:r>
          </w:p>
        </w:tc>
      </w:tr>
      <w:tr w:rsidR="00F74C5F" w:rsidTr="00FE06FF">
        <w:trPr>
          <w:trHeight w:val="277"/>
        </w:trPr>
        <w:tc>
          <w:tcPr>
            <w:tcW w:w="1844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938" w:type="dxa"/>
            <w:gridSpan w:val="4"/>
          </w:tcPr>
          <w:p w:rsidR="00F74C5F" w:rsidRPr="00E4455A" w:rsidRDefault="007F0A0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0A00">
              <w:rPr>
                <w:rFonts w:asciiTheme="minorHAnsi" w:hAnsiTheme="minorHAnsi" w:cstheme="minorHAnsi"/>
                <w:sz w:val="18"/>
                <w:szCs w:val="18"/>
              </w:rPr>
              <w:t>Za Slovankou 1782/3, 182 00  Praha 8</w:t>
            </w:r>
          </w:p>
        </w:tc>
      </w:tr>
      <w:tr w:rsidR="00F74C5F" w:rsidTr="00FE06FF">
        <w:trPr>
          <w:trHeight w:val="277"/>
        </w:trPr>
        <w:tc>
          <w:tcPr>
            <w:tcW w:w="1844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938" w:type="dxa"/>
            <w:gridSpan w:val="4"/>
          </w:tcPr>
          <w:p w:rsidR="00F74C5F" w:rsidRPr="00E4455A" w:rsidRDefault="00B10B7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10B77">
              <w:rPr>
                <w:rFonts w:asciiTheme="minorHAnsi" w:hAnsiTheme="minorHAnsi" w:cstheme="minorHAnsi"/>
                <w:sz w:val="18"/>
                <w:szCs w:val="18"/>
              </w:rPr>
              <w:t>03 Výzva č. 2.2 pro oblast podpory 2.1_Regionální VaV centra</w:t>
            </w:r>
          </w:p>
        </w:tc>
      </w:tr>
      <w:tr w:rsidR="00F74C5F" w:rsidTr="00FE06FF">
        <w:trPr>
          <w:trHeight w:val="277"/>
        </w:trPr>
        <w:tc>
          <w:tcPr>
            <w:tcW w:w="1844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938" w:type="dxa"/>
            <w:gridSpan w:val="4"/>
          </w:tcPr>
          <w:p w:rsidR="00F74C5F" w:rsidRPr="00E4455A" w:rsidRDefault="00E5683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29. 9. 2010</w:t>
            </w:r>
          </w:p>
        </w:tc>
      </w:tr>
      <w:tr w:rsidR="00F74C5F" w:rsidTr="00FE06FF">
        <w:trPr>
          <w:trHeight w:val="623"/>
        </w:trPr>
        <w:tc>
          <w:tcPr>
            <w:tcW w:w="1844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805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7E5F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E5FBD" w:rsidRPr="007E5FBD">
              <w:rPr>
                <w:rFonts w:asciiTheme="minorHAnsi" w:hAnsiTheme="minorHAnsi" w:cstheme="minorHAnsi"/>
                <w:sz w:val="18"/>
                <w:szCs w:val="18"/>
              </w:rPr>
              <w:t>1.1.2009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33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E5F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E5FBD" w:rsidRPr="007E5FBD">
              <w:rPr>
                <w:rFonts w:asciiTheme="minorHAnsi" w:hAnsiTheme="minorHAnsi" w:cstheme="minorHAnsi"/>
                <w:sz w:val="18"/>
                <w:szCs w:val="18"/>
              </w:rPr>
              <w:t>31.12.2013</w:t>
            </w:r>
          </w:p>
        </w:tc>
      </w:tr>
      <w:tr w:rsidR="00F74C5F" w:rsidTr="00FE06FF">
        <w:trPr>
          <w:trHeight w:val="277"/>
        </w:trPr>
        <w:tc>
          <w:tcPr>
            <w:tcW w:w="1844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805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</w:p>
        </w:tc>
        <w:tc>
          <w:tcPr>
            <w:tcW w:w="4133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4368" w:rsidTr="00FE06FF">
        <w:trPr>
          <w:trHeight w:val="1191"/>
        </w:trPr>
        <w:tc>
          <w:tcPr>
            <w:tcW w:w="1844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7938" w:type="dxa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34368" w:rsidRPr="00E4455A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RoPD)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</w:tr>
      <w:tr w:rsidR="008353DD" w:rsidTr="00FE06FF">
        <w:trPr>
          <w:trHeight w:val="1116"/>
        </w:trPr>
        <w:tc>
          <w:tcPr>
            <w:tcW w:w="1844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938" w:type="dxa"/>
            <w:gridSpan w:val="4"/>
          </w:tcPr>
          <w:p w:rsidR="00870DF2" w:rsidRPr="00870DF2" w:rsidRDefault="00870DF2" w:rsidP="00870D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Projekt Regionální centrum speciální optiky a optoelektronick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ých systémů "TOPTEC" (Turnovské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optoelektronické centrum) je zaměřen na vytvoření regionálního VaV cen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tra pro výzkum a vývoj přesné a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speciální optiky, optoelektronických systémů a optických měřících metod. Projekt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bude realizován Ústavem fyziky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plazmatu AV ČR, v.v.i., konkrétně Oddělením optické diagnostiky (OD) a Výv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ojovou optickou dílnou (VOD) se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 xml:space="preserve">sídlem Skálova 89, 511 01 Turnov (dále OD &amp; VOD). Zdejší pracoviště 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vybaveno možnostmi pro výzkum a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vývoj především klasické optiky, což nedovoluje sledovat nejnovější trendy v 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lších moderních oborech optiky.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 xml:space="preserve">Fyzická realizace projektu bude probíhat jednak v sídle OD &amp; VOD ve Skálově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ulici a dále také v pronajatých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prostorech společnosti Dioptra, a.s. Turnov, na adrese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Sobotecká 1660, 511 21 Turnov.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Specifickým cílem je doplnění stávajících výzkumných a vývojových možností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OD &amp; VOD. Z hlediska budoucího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vývo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 v oblasti speciální optiky a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optoelektronických systémů je třeba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ohloubit dovednosti ve výzkumu,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výpočtech a speciálním designu optických systémů, rozšířit exp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erimentální možnosti přípravy a měření těchto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systémů a v neposlední řadě také získávat a vychovávat nové vynikající odborníky.</w:t>
            </w:r>
          </w:p>
          <w:p w:rsidR="00870DF2" w:rsidRPr="00870DF2" w:rsidRDefault="00870DF2" w:rsidP="00870D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K naplnění cílů projektu budou pořízeny vyspělé technologie, které budou 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místěny v nových laboratořích v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prostorech společnosti Dioptra, a.s. Turnov (7 nových laboratorních prostor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a také dovybavení stávajícího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pracoviště ve Skálově ulici (konkrétně se bude 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ednat o jemnomechanickou dílnu.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Nedílnou součástí projektu je také vytvoření výzkumného týmu, který bude řešit šest VaV oborů, které jsou náplní</w:t>
            </w:r>
          </w:p>
          <w:p w:rsidR="008353DD" w:rsidRPr="00E4455A" w:rsidRDefault="00870DF2" w:rsidP="00870D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výzkumného programu "Speciální opti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ka a optoelektronické systémy".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Díky realizaci projektu bude vytvořeno regionální centr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um, které bude dosahovat vysoké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konkurenceschopnos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ti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na mezinárodní úrovni. Vytvoření tohoto typu pracoviště bude mít řadu př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ímých i nepřímých dopadů jak na </w:t>
            </w:r>
            <w:r w:rsidRPr="00870DF2">
              <w:rPr>
                <w:rFonts w:asciiTheme="minorHAnsi" w:hAnsiTheme="minorHAnsi" w:cstheme="minorHAnsi"/>
                <w:sz w:val="18"/>
                <w:szCs w:val="18"/>
              </w:rPr>
              <w:t>dotčené území, tak na celou Českou republiku.</w:t>
            </w:r>
          </w:p>
        </w:tc>
      </w:tr>
      <w:tr w:rsidR="00526313" w:rsidTr="00FE06FF">
        <w:trPr>
          <w:trHeight w:val="277"/>
        </w:trPr>
        <w:tc>
          <w:tcPr>
            <w:tcW w:w="1844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(pokud je relevantní)</w:t>
            </w:r>
          </w:p>
        </w:tc>
        <w:tc>
          <w:tcPr>
            <w:tcW w:w="3805" w:type="dxa"/>
            <w:gridSpan w:val="2"/>
          </w:tcPr>
          <w:p w:rsidR="00526313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7F0A00" w:rsidRDefault="007F0A0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Nestavební projekt</w:t>
            </w:r>
          </w:p>
          <w:p w:rsidR="007F0A00" w:rsidRPr="00E4455A" w:rsidRDefault="007F0A0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 se nachází v pronajatých prostorech po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rekonstrukci financovaná pronajímatelem</w:t>
            </w:r>
          </w:p>
        </w:tc>
        <w:tc>
          <w:tcPr>
            <w:tcW w:w="4133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Generální dodavatel:</w:t>
            </w:r>
          </w:p>
          <w:p w:rsidR="007F0A00" w:rsidRPr="00E4455A" w:rsidRDefault="007F0A0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NR</w:t>
            </w:r>
          </w:p>
        </w:tc>
      </w:tr>
      <w:tr w:rsidR="008353DD" w:rsidTr="00FE06FF">
        <w:trPr>
          <w:trHeight w:val="1290"/>
        </w:trPr>
        <w:tc>
          <w:tcPr>
            <w:tcW w:w="1844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7938" w:type="dxa"/>
            <w:gridSpan w:val="4"/>
          </w:tcPr>
          <w:p w:rsidR="008353DD" w:rsidRDefault="005B07D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má již úspěšně ukončenou realizaci, budova byla zrekonstruována (přestože náklady byly hrazeny pronajímatelem prostor), přístroje byly nakoupeny a personální obsazení naplněno.</w:t>
            </w:r>
          </w:p>
          <w:p w:rsidR="005B07DA" w:rsidRDefault="005B07D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tbl>
            <w:tblPr>
              <w:tblW w:w="7753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2721"/>
              <w:gridCol w:w="1844"/>
              <w:gridCol w:w="1701"/>
              <w:gridCol w:w="1487"/>
            </w:tblGrid>
            <w:tr w:rsidR="00FE06FF" w:rsidRPr="0096157C" w:rsidTr="00FE06FF">
              <w:trPr>
                <w:trHeight w:val="873"/>
              </w:trPr>
              <w:tc>
                <w:tcPr>
                  <w:tcW w:w="17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A60A9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11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</w:t>
                  </w:r>
                </w:p>
              </w:tc>
              <w:tc>
                <w:tcPr>
                  <w:tcW w:w="10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Schváleno k datu ukončení 31.12. 2013</w:t>
                  </w:r>
                </w:p>
              </w:tc>
              <w:tc>
                <w:tcPr>
                  <w:tcW w:w="9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07DA" w:rsidRPr="0091140F" w:rsidRDefault="005B07DA" w:rsidP="00FE06FF">
                  <w:pPr>
                    <w:spacing w:after="0" w:line="240" w:lineRule="auto"/>
                    <w:ind w:right="142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Plán k 31.12.2015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95</w:t>
                  </w:r>
                </w:p>
              </w:tc>
            </w:tr>
            <w:tr w:rsidR="00FE06FF" w:rsidRPr="00652385" w:rsidTr="00FE06FF">
              <w:trPr>
                <w:trHeight w:val="514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4B4EC5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E25A2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17</w:t>
                  </w:r>
                  <w:r w:rsidR="00E25A22" w:rsidRPr="0091140F">
                    <w:rPr>
                      <w:sz w:val="18"/>
                      <w:szCs w:val="18"/>
                    </w:rPr>
                    <w:t> </w:t>
                  </w:r>
                  <w:r w:rsidRPr="0091140F">
                    <w:rPr>
                      <w:sz w:val="18"/>
                      <w:szCs w:val="18"/>
                    </w:rPr>
                    <w:t>600</w:t>
                  </w:r>
                  <w:r w:rsidR="00E25A22" w:rsidRPr="0091140F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4B4EC5" w:rsidP="00E25A2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 xml:space="preserve">17 458 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37</w:t>
                  </w:r>
                  <w:r w:rsidR="00E25A22" w:rsidRPr="0091140F">
                    <w:rPr>
                      <w:sz w:val="18"/>
                      <w:szCs w:val="18"/>
                    </w:rPr>
                    <w:t> </w:t>
                  </w:r>
                  <w:r w:rsidRPr="0091140F">
                    <w:rPr>
                      <w:sz w:val="18"/>
                      <w:szCs w:val="18"/>
                    </w:rPr>
                    <w:t>600</w:t>
                  </w:r>
                  <w:r w:rsidR="00E25A22" w:rsidRPr="0091140F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4B4EC5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38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11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4B4EC5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8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110720</w:t>
                  </w:r>
                  <w:r w:rsidR="004B4EC5" w:rsidRPr="0091140F">
                    <w:rPr>
                      <w:rStyle w:val="Znakapoznpodarou"/>
                      <w:sz w:val="18"/>
                      <w:szCs w:val="18"/>
                      <w:lang w:eastAsia="cs-CZ"/>
                    </w:rPr>
                    <w:footnoteReference w:id="1"/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174EC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4B4EC5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13</w:t>
                  </w:r>
                </w:p>
              </w:tc>
            </w:tr>
            <w:tr w:rsidR="00FE06FF" w:rsidRPr="00652385" w:rsidTr="00FE06FF">
              <w:trPr>
                <w:trHeight w:val="514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174EC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943B75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6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23,10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3E472E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24,1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27,60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15,10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3E472E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15,75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19,10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118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5,80</w:t>
                  </w:r>
                </w:p>
              </w:tc>
              <w:tc>
                <w:tcPr>
                  <w:tcW w:w="10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3E472E" w:rsidP="006E6F62">
                  <w:pPr>
                    <w:spacing w:after="0"/>
                    <w:ind w:right="57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6,56</w:t>
                  </w:r>
                </w:p>
              </w:tc>
              <w:tc>
                <w:tcPr>
                  <w:tcW w:w="9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/>
                    <w:ind w:right="142"/>
                    <w:jc w:val="right"/>
                    <w:rPr>
                      <w:sz w:val="18"/>
                      <w:szCs w:val="18"/>
                    </w:rPr>
                  </w:pPr>
                  <w:r w:rsidRPr="0091140F">
                    <w:rPr>
                      <w:sz w:val="18"/>
                      <w:szCs w:val="18"/>
                    </w:rPr>
                    <w:t>7,80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11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ind w:right="57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0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ind w:right="57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9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 w:line="240" w:lineRule="auto"/>
                    <w:ind w:right="142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  <w:tr w:rsidR="00FE06FF" w:rsidRPr="00652385" w:rsidTr="00FE06FF">
              <w:trPr>
                <w:trHeight w:val="258"/>
              </w:trPr>
              <w:tc>
                <w:tcPr>
                  <w:tcW w:w="17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11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ind w:right="57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0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B07DA" w:rsidRPr="0091140F" w:rsidRDefault="005B07DA" w:rsidP="006E6F62">
                  <w:pPr>
                    <w:spacing w:after="0" w:line="240" w:lineRule="auto"/>
                    <w:ind w:right="57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9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B07DA" w:rsidRPr="0091140F" w:rsidRDefault="005B07DA" w:rsidP="00FE06FF">
                  <w:pPr>
                    <w:spacing w:after="0" w:line="240" w:lineRule="auto"/>
                    <w:ind w:right="142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91140F">
                    <w:rPr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</w:tbl>
          <w:p w:rsidR="005B07DA" w:rsidRDefault="005B07D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B07DA" w:rsidRPr="00E4455A" w:rsidRDefault="005B07D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5AE1" w:rsidTr="00FE06FF">
        <w:tc>
          <w:tcPr>
            <w:tcW w:w="9782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106D5C" wp14:editId="174036F2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987928">
                                    <w:rPr>
                                      <w:sz w:val="18"/>
                                      <w:szCs w:val="18"/>
                                    </w:rPr>
                                    <w:t xml:space="preserve"> 23. 02. 2015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987928">
                              <w:rPr>
                                <w:sz w:val="18"/>
                                <w:szCs w:val="18"/>
                              </w:rPr>
                              <w:t xml:space="preserve"> 23. 02. 2015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FE06FF">
        <w:trPr>
          <w:trHeight w:val="847"/>
        </w:trPr>
        <w:tc>
          <w:tcPr>
            <w:tcW w:w="1567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614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403B88" w:rsidRDefault="00403B88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03B88">
              <w:rPr>
                <w:rFonts w:asciiTheme="minorHAnsi" w:hAnsiTheme="minorHAnsi" w:cstheme="minorHAnsi"/>
                <w:sz w:val="18"/>
                <w:szCs w:val="18"/>
              </w:rPr>
              <w:t>Ing. Petr Křenek CSc.</w:t>
            </w:r>
          </w:p>
          <w:p w:rsidR="00403B88" w:rsidRPr="00E4455A" w:rsidRDefault="00403B88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Ředitel ústavu</w:t>
            </w:r>
          </w:p>
        </w:tc>
        <w:tc>
          <w:tcPr>
            <w:tcW w:w="4601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87928" w:rsidRPr="00E4455A" w:rsidRDefault="0098792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E3557">
              <w:rPr>
                <w:rFonts w:asciiTheme="minorHAnsi" w:hAnsiTheme="minorHAnsi" w:cstheme="minorHAnsi"/>
                <w:sz w:val="18"/>
                <w:szCs w:val="18"/>
              </w:rPr>
              <w:t>Ústav fyziky plazmatu AV ČR, v.v.i.</w:t>
            </w:r>
          </w:p>
        </w:tc>
      </w:tr>
      <w:tr w:rsidR="00002DBE" w:rsidTr="00FE06FF">
        <w:trPr>
          <w:trHeight w:val="1009"/>
        </w:trPr>
        <w:tc>
          <w:tcPr>
            <w:tcW w:w="1567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8215" w:type="dxa"/>
            <w:gridSpan w:val="5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002DBE" w:rsidRPr="00E4455A" w:rsidRDefault="00DE355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E3557">
              <w:rPr>
                <w:rFonts w:asciiTheme="minorHAnsi" w:hAnsiTheme="minorHAnsi" w:cstheme="minorHAnsi"/>
                <w:sz w:val="18"/>
                <w:szCs w:val="18"/>
              </w:rPr>
              <w:t>Ing. Vít Lédl, Ph.D.</w:t>
            </w:r>
          </w:p>
          <w:p w:rsidR="00DE3557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bookmarkStart w:id="0" w:name="_GoBack"/>
            <w:bookmarkEnd w:id="0"/>
          </w:p>
        </w:tc>
      </w:tr>
      <w:tr w:rsidR="0004245B" w:rsidTr="00FE06FF">
        <w:trPr>
          <w:trHeight w:val="843"/>
        </w:trPr>
        <w:tc>
          <w:tcPr>
            <w:tcW w:w="1567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863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6B65D0" w:rsidRPr="00E4455A" w:rsidRDefault="006B65D0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Během realizace k moc změnám nedocházelo oproti ostatním projektům. Docházelo k personálním změnám a změnám v názvech klíčového vybavení, aby lépe korespondovaly s reálně vysoutěženým přístrojovým vybavením. </w:t>
            </w:r>
            <w:r w:rsidR="00F51F54">
              <w:rPr>
                <w:rFonts w:asciiTheme="minorHAnsi" w:hAnsiTheme="minorHAnsi" w:cstheme="minorHAnsi"/>
                <w:sz w:val="18"/>
                <w:szCs w:val="18"/>
              </w:rPr>
              <w:t>Došlo k několika změnám i na vedoucích pozicích centra, nemělo to však žádný negativní dopad do realizace.</w:t>
            </w:r>
          </w:p>
        </w:tc>
        <w:tc>
          <w:tcPr>
            <w:tcW w:w="3352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51F54" w:rsidRPr="00E4455A" w:rsidRDefault="00F51F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Drobné změny v rozpočtu</w:t>
            </w:r>
          </w:p>
        </w:tc>
      </w:tr>
      <w:tr w:rsidR="0004245B" w:rsidTr="00FE06FF">
        <w:trPr>
          <w:trHeight w:val="869"/>
        </w:trPr>
        <w:tc>
          <w:tcPr>
            <w:tcW w:w="1567" w:type="dxa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(stručný popis, v jaké fázi se projekt nachází, jak probíhá jeho realizace a uvedou se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aktuální schválené hodnoty MI k výše uvedenému datu a jejich popis)</w:t>
            </w:r>
          </w:p>
        </w:tc>
        <w:tc>
          <w:tcPr>
            <w:tcW w:w="8215" w:type="dxa"/>
            <w:gridSpan w:val="5"/>
          </w:tcPr>
          <w:p w:rsidR="00094487" w:rsidRDefault="0009448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Projekt má ukončenou realizaci. Popis stavu indikátorů tedy vyplývá z tabulky MI výše.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94487">
              <w:rPr>
                <w:rFonts w:asciiTheme="minorHAnsi" w:hAnsiTheme="minorHAnsi" w:cstheme="minorHAnsi"/>
                <w:sz w:val="18"/>
                <w:szCs w:val="18"/>
              </w:rPr>
              <w:t xml:space="preserve"> NR</w:t>
            </w:r>
            <w:r w:rsidR="00F3460F">
              <w:rPr>
                <w:rFonts w:asciiTheme="minorHAnsi" w:hAnsiTheme="minorHAnsi" w:cstheme="minorHAnsi"/>
                <w:sz w:val="18"/>
                <w:szCs w:val="18"/>
              </w:rPr>
              <w:t>, projekt neměl stavební část.</w:t>
            </w:r>
          </w:p>
          <w:p w:rsidR="00094487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94487">
              <w:rPr>
                <w:rFonts w:asciiTheme="minorHAnsi" w:hAnsiTheme="minorHAnsi" w:cstheme="minorHAnsi"/>
                <w:sz w:val="18"/>
                <w:szCs w:val="18"/>
              </w:rPr>
              <w:t xml:space="preserve"> 100% </w:t>
            </w:r>
          </w:p>
          <w:p w:rsidR="0004245B" w:rsidRPr="00E4455A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E4455A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94487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</w:tc>
      </w:tr>
      <w:tr w:rsidR="00DA6654" w:rsidTr="00FE06FF">
        <w:tc>
          <w:tcPr>
            <w:tcW w:w="1567" w:type="dxa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Finanční čerpání projektu</w:t>
            </w:r>
            <w:r w:rsidR="007B2E9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8215" w:type="dxa"/>
            <w:gridSpan w:val="5"/>
          </w:tcPr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C92258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1057A4" w:rsidRPr="00E4455A" w:rsidRDefault="00DA6654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31.12.2014):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3F6D" w:rsidTr="00FE06FF">
        <w:tc>
          <w:tcPr>
            <w:tcW w:w="1567" w:type="dxa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 w:rsidR="008C2B2A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8215" w:type="dxa"/>
            <w:gridSpan w:val="5"/>
          </w:tcPr>
          <w:p w:rsidR="00C43F6D" w:rsidRPr="00E4455A" w:rsidRDefault="00C43F6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53C" w:rsidTr="00FE06FF">
        <w:tc>
          <w:tcPr>
            <w:tcW w:w="1567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8215" w:type="dxa"/>
            <w:gridSpan w:val="5"/>
          </w:tcPr>
          <w:p w:rsidR="00D2753C" w:rsidRPr="00E4455A" w:rsidRDefault="00AF7E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 projektu hrozí nenaplnění závazných hodnot počtu absolventů jak magisterského, tak doktorského studia.</w:t>
            </w:r>
          </w:p>
        </w:tc>
      </w:tr>
      <w:tr w:rsidR="00A431A3" w:rsidTr="00FE06FF">
        <w:tc>
          <w:tcPr>
            <w:tcW w:w="9782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Pr="00AE72C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938" w:type="dxa"/>
            <w:gridSpan w:val="4"/>
          </w:tcPr>
          <w:p w:rsidR="00800C6B" w:rsidRDefault="00800C6B" w:rsidP="0098637E">
            <w:pPr>
              <w:spacing w:before="60" w:after="60" w:line="240" w:lineRule="auto"/>
              <w:rPr>
                <w:sz w:val="18"/>
              </w:rPr>
            </w:pPr>
            <w:r w:rsidRPr="00BC32E8">
              <w:rPr>
                <w:sz w:val="18"/>
              </w:rPr>
              <w:t>Celkově je financování</w:t>
            </w:r>
            <w:r>
              <w:rPr>
                <w:sz w:val="18"/>
              </w:rPr>
              <w:t xml:space="preserve"> Centra</w:t>
            </w:r>
            <w:r w:rsidRPr="00BC32E8">
              <w:rPr>
                <w:sz w:val="18"/>
              </w:rPr>
              <w:t xml:space="preserve"> tvořeno</w:t>
            </w:r>
            <w:r>
              <w:rPr>
                <w:sz w:val="18"/>
              </w:rPr>
              <w:t>:</w:t>
            </w:r>
            <w:r w:rsidRPr="00BC32E8">
              <w:rPr>
                <w:sz w:val="18"/>
              </w:rPr>
              <w:t xml:space="preserve"> 30% smluvní výzkum, 30% granty (GAČR+TAČR), 30% TOPTEC/MOST a 10% ÚFP.</w:t>
            </w:r>
          </w:p>
          <w:p w:rsidR="00F313E5" w:rsidRDefault="00F313E5" w:rsidP="0098637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Finanční plán do roku 2018 </w:t>
            </w:r>
            <w:r w:rsidR="00BC32E8">
              <w:rPr>
                <w:sz w:val="18"/>
              </w:rPr>
              <w:t xml:space="preserve">(2014-2018) </w:t>
            </w:r>
            <w:r>
              <w:rPr>
                <w:sz w:val="18"/>
              </w:rPr>
              <w:t>předpokládá finanční zdroje ze smluvního výzkumu ve výši 28 </w:t>
            </w:r>
            <w:r w:rsidR="00800C6B">
              <w:rPr>
                <w:sz w:val="18"/>
              </w:rPr>
              <w:t xml:space="preserve">mil. </w:t>
            </w:r>
            <w:r>
              <w:rPr>
                <w:sz w:val="18"/>
              </w:rPr>
              <w:t>Kč a finanční zdroje z mezinárodních grantů ve výši 10 </w:t>
            </w:r>
            <w:r w:rsidR="00800C6B">
              <w:rPr>
                <w:sz w:val="18"/>
              </w:rPr>
              <w:t>mil.</w:t>
            </w:r>
            <w:r>
              <w:rPr>
                <w:sz w:val="18"/>
              </w:rPr>
              <w:t xml:space="preserve"> Kč. </w:t>
            </w:r>
          </w:p>
          <w:p w:rsidR="00F313E5" w:rsidRPr="00800C6B" w:rsidRDefault="00BC32E8" w:rsidP="00800C6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Dosavadní smluvní výzkum se </w:t>
            </w:r>
            <w:r w:rsidR="00800C6B">
              <w:rPr>
                <w:sz w:val="18"/>
              </w:rPr>
              <w:t>v centru realizoval ve výši 26,5 mil</w:t>
            </w:r>
            <w:r>
              <w:rPr>
                <w:sz w:val="18"/>
              </w:rPr>
              <w:t>. Kč za období od 1.10.2010 do 31.12.2014.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Pr="00AE72C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938" w:type="dxa"/>
            <w:gridSpan w:val="4"/>
          </w:tcPr>
          <w:p w:rsidR="00F313E5" w:rsidRDefault="00F313E5" w:rsidP="00F313E5">
            <w:pPr>
              <w:spacing w:before="60" w:after="60" w:line="240" w:lineRule="auto"/>
            </w:pPr>
            <w:r w:rsidRPr="00CC0C8F">
              <w:rPr>
                <w:sz w:val="18"/>
              </w:rPr>
              <w:t>Požadavky na účelové zdroje centra</w:t>
            </w:r>
            <w:r w:rsidR="00800C6B">
              <w:rPr>
                <w:sz w:val="18"/>
              </w:rPr>
              <w:t xml:space="preserve"> jsou celkem 105,</w:t>
            </w:r>
            <w:r>
              <w:rPr>
                <w:sz w:val="18"/>
              </w:rPr>
              <w:t xml:space="preserve">7 mil. Kč pro období do roku 2018. Z tohoto objemu je podpora NPU vyčíslena na 99,4 mil. Kč, zatímco institucionální podpora je předpokládána ve výši 12,5 mil. Kč pro predikované období. </w:t>
            </w:r>
            <w:r>
              <w:t xml:space="preserve"> 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Pr="00AE72C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938" w:type="dxa"/>
            <w:gridSpan w:val="4"/>
          </w:tcPr>
          <w:p w:rsidR="00F313E5" w:rsidRDefault="000616A0" w:rsidP="0098637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Závazné indikátory udržitelnosti v centru jsou </w:t>
            </w:r>
            <w:r w:rsidRPr="000616A0">
              <w:rPr>
                <w:b/>
                <w:sz w:val="18"/>
              </w:rPr>
              <w:t xml:space="preserve">personální </w:t>
            </w:r>
            <w:r>
              <w:rPr>
                <w:sz w:val="18"/>
              </w:rPr>
              <w:t>(počet studentů využívajících výzkumnou infrastrukturu, p</w:t>
            </w:r>
            <w:r w:rsidRPr="000616A0">
              <w:rPr>
                <w:sz w:val="18"/>
              </w:rPr>
              <w:t>očet nově vytv</w:t>
            </w:r>
            <w:r>
              <w:rPr>
                <w:sz w:val="18"/>
              </w:rPr>
              <w:t xml:space="preserve">ořených pracovních míst, výzkumní pracovníci celkem (a do 35 let), </w:t>
            </w:r>
            <w:r w:rsidRPr="000616A0">
              <w:rPr>
                <w:b/>
                <w:sz w:val="18"/>
              </w:rPr>
              <w:t>pedagogické</w:t>
            </w:r>
            <w:r>
              <w:rPr>
                <w:sz w:val="18"/>
              </w:rPr>
              <w:t xml:space="preserve"> (p</w:t>
            </w:r>
            <w:r w:rsidRPr="000616A0">
              <w:rPr>
                <w:sz w:val="18"/>
              </w:rPr>
              <w:t xml:space="preserve">očet úspěšných absolventů magisterských </w:t>
            </w:r>
            <w:r>
              <w:rPr>
                <w:sz w:val="18"/>
              </w:rPr>
              <w:t xml:space="preserve">a doktorských studijních programů, </w:t>
            </w:r>
            <w:r w:rsidRPr="000616A0">
              <w:rPr>
                <w:sz w:val="18"/>
              </w:rPr>
              <w:t xml:space="preserve">výsledky VaV (Publikace, Výsledky výzkumu chráněné na základě zvláštního právního předpisu, Aplikované výsledky výzkumu), </w:t>
            </w:r>
            <w:r w:rsidRPr="000616A0">
              <w:rPr>
                <w:b/>
                <w:sz w:val="18"/>
              </w:rPr>
              <w:t>objem smluvního výzkumu,</w:t>
            </w:r>
            <w:r w:rsidRPr="000616A0">
              <w:rPr>
                <w:sz w:val="18"/>
              </w:rPr>
              <w:t xml:space="preserve"> spolupráce (Počet projektů spolupráce aplikační sféry s regionálními VaV centry), </w:t>
            </w:r>
            <w:r w:rsidRPr="000616A0">
              <w:rPr>
                <w:b/>
                <w:sz w:val="18"/>
              </w:rPr>
              <w:t>objem prostředků získaných ve veřejné soutěži o účelovou podporu VaV národních zdrojů</w:t>
            </w:r>
            <w:r>
              <w:rPr>
                <w:sz w:val="18"/>
              </w:rPr>
              <w:t>.</w:t>
            </w:r>
            <w:r w:rsidR="00800C6B" w:rsidRPr="00BC32E8">
              <w:rPr>
                <w:sz w:val="18"/>
              </w:rPr>
              <w:t xml:space="preserve"> </w:t>
            </w:r>
            <w:r w:rsidR="00800C6B">
              <w:rPr>
                <w:sz w:val="18"/>
              </w:rPr>
              <w:t>V současnosti pracuje v centru</w:t>
            </w:r>
            <w:r w:rsidR="00800C6B" w:rsidRPr="00BC32E8">
              <w:rPr>
                <w:sz w:val="18"/>
              </w:rPr>
              <w:t xml:space="preserve"> 40 FTE zaměstnanců+10 studentů</w:t>
            </w:r>
            <w:r w:rsidR="00800C6B">
              <w:rPr>
                <w:sz w:val="18"/>
              </w:rPr>
              <w:t>.</w:t>
            </w:r>
          </w:p>
          <w:p w:rsidR="003E427D" w:rsidRPr="00800C6B" w:rsidRDefault="003E427D" w:rsidP="00FC4262">
            <w:pPr>
              <w:spacing w:before="60" w:after="60" w:line="240" w:lineRule="auto"/>
              <w:rPr>
                <w:sz w:val="18"/>
              </w:rPr>
            </w:pPr>
            <w:r w:rsidRPr="00434625">
              <w:rPr>
                <w:sz w:val="18"/>
              </w:rPr>
              <w:t xml:space="preserve">Současný počet výzkumníků zaměstnaných v centru je </w:t>
            </w:r>
            <w:r>
              <w:rPr>
                <w:sz w:val="18"/>
              </w:rPr>
              <w:t>25</w:t>
            </w:r>
            <w:r w:rsidRPr="00434625">
              <w:rPr>
                <w:sz w:val="18"/>
              </w:rPr>
              <w:t xml:space="preserve"> odborných</w:t>
            </w:r>
            <w:r w:rsidR="00FC4262">
              <w:rPr>
                <w:sz w:val="18"/>
              </w:rPr>
              <w:t xml:space="preserve"> </w:t>
            </w:r>
            <w:r w:rsidRPr="00434625">
              <w:rPr>
                <w:sz w:val="18"/>
              </w:rPr>
              <w:t>pracovníků</w:t>
            </w:r>
            <w:r>
              <w:rPr>
                <w:sz w:val="18"/>
              </w:rPr>
              <w:t xml:space="preserve">  senior researcher, junior researcher, Ph.D student).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938" w:type="dxa"/>
            <w:gridSpan w:val="4"/>
          </w:tcPr>
          <w:p w:rsidR="00BC32E8" w:rsidRDefault="00BC32E8" w:rsidP="00BC32E8">
            <w:pPr>
              <w:spacing w:before="60" w:after="60" w:line="240" w:lineRule="auto"/>
              <w:rPr>
                <w:sz w:val="18"/>
              </w:rPr>
            </w:pPr>
            <w:r w:rsidRPr="00BC32E8">
              <w:rPr>
                <w:sz w:val="18"/>
              </w:rPr>
              <w:t>Centrum TOPTEC se nachází v části rekonstruovaného objektu bývalé společnosti DIOPTRA a.s. Turnov. Příjemcem dotace je Ústav fyziky plazmatu AV ČR, v.v.i. (dále jen ÚFP).</w:t>
            </w:r>
          </w:p>
          <w:p w:rsidR="00800C6B" w:rsidRDefault="00BC32E8" w:rsidP="00BC32E8">
            <w:pPr>
              <w:spacing w:before="60" w:after="60" w:line="240" w:lineRule="auto"/>
              <w:rPr>
                <w:sz w:val="18"/>
              </w:rPr>
            </w:pPr>
            <w:r w:rsidRPr="00BC32E8">
              <w:rPr>
                <w:sz w:val="18"/>
              </w:rPr>
              <w:t>TOPTEC je projekt, který byl realizován ÚFP na rozdíl od řady jiných v prostorách, které mají pronajaty do roku 2023 od fy Dioptra. Ta byla dříve velmi významnou optickou firmou dané lokality, avšak téměř zanikla a v současné době operuje hlavně s pozemky a budovami, které zdědila z 60.</w:t>
            </w:r>
            <w:r>
              <w:rPr>
                <w:sz w:val="18"/>
              </w:rPr>
              <w:t xml:space="preserve"> </w:t>
            </w:r>
            <w:r w:rsidRPr="00BC32E8">
              <w:rPr>
                <w:sz w:val="18"/>
              </w:rPr>
              <w:t>let 20. století. Tato skutečnost je dle našeho názoru jedním z hlavních rizik celého projektu. TOPTEC má v současnosti cca 1500 m2 laboratorních prostor a rozpočet cca 40 mil Kč. Ročně má přes 100 zakázek</w:t>
            </w:r>
            <w:r w:rsidR="00800C6B">
              <w:rPr>
                <w:sz w:val="18"/>
              </w:rPr>
              <w:t xml:space="preserve">. </w:t>
            </w:r>
          </w:p>
          <w:p w:rsidR="00BC32E8" w:rsidRPr="00BC32E8" w:rsidRDefault="00BC32E8" w:rsidP="00BC32E8">
            <w:pPr>
              <w:spacing w:before="60" w:after="60" w:line="240" w:lineRule="auto"/>
              <w:rPr>
                <w:sz w:val="18"/>
              </w:rPr>
            </w:pPr>
            <w:r w:rsidRPr="00BC32E8">
              <w:rPr>
                <w:sz w:val="18"/>
              </w:rPr>
              <w:t>Výdaje projektu byly zaměřeny především na pořízení přístrojového vybavení Centra, a to ve výši 140</w:t>
            </w:r>
            <w:r w:rsidR="00800C6B">
              <w:rPr>
                <w:sz w:val="18"/>
              </w:rPr>
              <w:t xml:space="preserve"> </w:t>
            </w:r>
            <w:r w:rsidRPr="00BC32E8">
              <w:rPr>
                <w:sz w:val="18"/>
              </w:rPr>
              <w:t xml:space="preserve">mil. </w:t>
            </w:r>
            <w:r w:rsidRPr="00BC32E8">
              <w:rPr>
                <w:sz w:val="18"/>
              </w:rPr>
              <w:lastRenderedPageBreak/>
              <w:t>Kč. Ostatní prostředky byly využity na aktivity související s realizací projektu</w:t>
            </w:r>
            <w:r w:rsidR="003E427D">
              <w:rPr>
                <w:sz w:val="18"/>
              </w:rPr>
              <w:t>.</w:t>
            </w:r>
          </w:p>
          <w:p w:rsidR="00BC32E8" w:rsidRDefault="00BC32E8" w:rsidP="00BC32E8">
            <w:pPr>
              <w:spacing w:before="60" w:after="60" w:line="240" w:lineRule="auto"/>
            </w:pPr>
            <w:r w:rsidRPr="00BC32E8">
              <w:rPr>
                <w:sz w:val="18"/>
              </w:rPr>
              <w:t>K dnešnímu datu je v Centru TOPTEC vedeno 6 podoborů precizní optiky a optických elementů</w:t>
            </w:r>
            <w:r>
              <w:rPr>
                <w:sz w:val="18"/>
              </w:rPr>
              <w:t>.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Poznatky z návštěvy týmu zmocněnce pro udržitelnost</w:t>
            </w:r>
          </w:p>
        </w:tc>
        <w:tc>
          <w:tcPr>
            <w:tcW w:w="7938" w:type="dxa"/>
            <w:gridSpan w:val="4"/>
          </w:tcPr>
          <w:p w:rsidR="00F313E5" w:rsidRDefault="00F313E5" w:rsidP="0098637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</w:t>
            </w:r>
            <w:r w:rsidR="000616A0">
              <w:rPr>
                <w:sz w:val="18"/>
              </w:rPr>
              <w:t>má</w:t>
            </w:r>
            <w:r>
              <w:rPr>
                <w:sz w:val="18"/>
              </w:rPr>
              <w:t xml:space="preserve"> tuzemské </w:t>
            </w:r>
            <w:r w:rsidR="000616A0">
              <w:rPr>
                <w:sz w:val="18"/>
              </w:rPr>
              <w:t>i</w:t>
            </w:r>
            <w:r>
              <w:rPr>
                <w:sz w:val="18"/>
              </w:rPr>
              <w:t xml:space="preserve"> zahraniční partnery výzkumu.</w:t>
            </w:r>
            <w:r w:rsidR="000616A0">
              <w:rPr>
                <w:sz w:val="18"/>
              </w:rPr>
              <w:t xml:space="preserve"> Mezi tuzemské partnery patří SQS Nová Paka, s.r.o., Polpur, s.r.o., Meopta-optika s.r.o., Technická universita Liberec a firma Applic, s.r.o. (v rámci projektu TA ČR alfa)</w:t>
            </w:r>
            <w:r w:rsidR="00BC32E8">
              <w:rPr>
                <w:sz w:val="18"/>
              </w:rPr>
              <w:t xml:space="preserve">. Mezi zahraniční partnery centra patří  v rámci </w:t>
            </w:r>
            <w:r w:rsidR="00BC32E8" w:rsidRPr="00BC32E8">
              <w:rPr>
                <w:sz w:val="18"/>
              </w:rPr>
              <w:t>spolupráce  výzkumných aktivit pro space (ESA PROBA 3 - CSL Belgium, ESA METIS -  CGS Italy)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938" w:type="dxa"/>
            <w:gridSpan w:val="4"/>
          </w:tcPr>
          <w:p w:rsidR="00F313E5" w:rsidRDefault="00FC4262" w:rsidP="0098637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 – B</w:t>
            </w:r>
          </w:p>
          <w:p w:rsidR="00FC4262" w:rsidRDefault="00FC4262" w:rsidP="0098637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Odůvodnění: po uplynutí smlouvy na pronájem v r. 2023 hrozí jisté nebezpečí navýšení nákladů na pronájem. </w:t>
            </w:r>
          </w:p>
        </w:tc>
      </w:tr>
      <w:tr w:rsidR="00F313E5" w:rsidTr="00800C6B">
        <w:tc>
          <w:tcPr>
            <w:tcW w:w="1844" w:type="dxa"/>
            <w:gridSpan w:val="2"/>
          </w:tcPr>
          <w:p w:rsidR="00F313E5" w:rsidRDefault="00F313E5" w:rsidP="00986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938" w:type="dxa"/>
            <w:gridSpan w:val="4"/>
          </w:tcPr>
          <w:p w:rsidR="00F313E5" w:rsidRDefault="00F313E5" w:rsidP="0098637E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0C" w:rsidRDefault="000C3A0C" w:rsidP="00353AEB">
      <w:pPr>
        <w:spacing w:after="0" w:line="240" w:lineRule="auto"/>
      </w:pPr>
      <w:r>
        <w:separator/>
      </w:r>
    </w:p>
  </w:endnote>
  <w:endnote w:type="continuationSeparator" w:id="0">
    <w:p w:rsidR="000C3A0C" w:rsidRDefault="000C3A0C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98020A" w:rsidRPr="0098020A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1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98020A" w:rsidRPr="0098020A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1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0C" w:rsidRDefault="000C3A0C" w:rsidP="00353AEB">
      <w:pPr>
        <w:spacing w:after="0" w:line="240" w:lineRule="auto"/>
      </w:pPr>
      <w:r>
        <w:separator/>
      </w:r>
    </w:p>
  </w:footnote>
  <w:footnote w:type="continuationSeparator" w:id="0">
    <w:p w:rsidR="000C3A0C" w:rsidRDefault="000C3A0C" w:rsidP="00353AEB">
      <w:pPr>
        <w:spacing w:after="0" w:line="240" w:lineRule="auto"/>
      </w:pPr>
      <w:r>
        <w:continuationSeparator/>
      </w:r>
    </w:p>
  </w:footnote>
  <w:footnote w:id="1">
    <w:p w:rsidR="004B4EC5" w:rsidRDefault="004B4EC5">
      <w:pPr>
        <w:pStyle w:val="Textpoznpodarou"/>
      </w:pPr>
      <w:r>
        <w:rPr>
          <w:rStyle w:val="Znakapoznpodarou"/>
        </w:rPr>
        <w:footnoteRef/>
      </w:r>
      <w:r>
        <w:t xml:space="preserve"> U indikátorů 110 720 a 110 815  jsou závazné hodnoty až k 31. 12. 2015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616A0"/>
    <w:rsid w:val="00070BDB"/>
    <w:rsid w:val="00071F64"/>
    <w:rsid w:val="00094487"/>
    <w:rsid w:val="000A69DE"/>
    <w:rsid w:val="000B7BB7"/>
    <w:rsid w:val="000C3A0C"/>
    <w:rsid w:val="000C71C7"/>
    <w:rsid w:val="000F0945"/>
    <w:rsid w:val="0010270A"/>
    <w:rsid w:val="001057A4"/>
    <w:rsid w:val="00125F00"/>
    <w:rsid w:val="00174ECA"/>
    <w:rsid w:val="0018459D"/>
    <w:rsid w:val="001845D5"/>
    <w:rsid w:val="001B09DB"/>
    <w:rsid w:val="001B2134"/>
    <w:rsid w:val="001E1410"/>
    <w:rsid w:val="00235AE1"/>
    <w:rsid w:val="0027728F"/>
    <w:rsid w:val="002A102B"/>
    <w:rsid w:val="002B4A3E"/>
    <w:rsid w:val="002C69A4"/>
    <w:rsid w:val="002D6112"/>
    <w:rsid w:val="00353AEB"/>
    <w:rsid w:val="00382475"/>
    <w:rsid w:val="003D1E91"/>
    <w:rsid w:val="003D76B5"/>
    <w:rsid w:val="003E427D"/>
    <w:rsid w:val="003E472E"/>
    <w:rsid w:val="00403B88"/>
    <w:rsid w:val="00413C71"/>
    <w:rsid w:val="0041723E"/>
    <w:rsid w:val="00431B1E"/>
    <w:rsid w:val="004A6108"/>
    <w:rsid w:val="004A66BB"/>
    <w:rsid w:val="004B4EC5"/>
    <w:rsid w:val="004C4832"/>
    <w:rsid w:val="004D6F6B"/>
    <w:rsid w:val="004F6D08"/>
    <w:rsid w:val="00500997"/>
    <w:rsid w:val="0052281E"/>
    <w:rsid w:val="00526313"/>
    <w:rsid w:val="00560D79"/>
    <w:rsid w:val="00595603"/>
    <w:rsid w:val="00596095"/>
    <w:rsid w:val="005B07DA"/>
    <w:rsid w:val="005D613D"/>
    <w:rsid w:val="005F27AE"/>
    <w:rsid w:val="0060312A"/>
    <w:rsid w:val="00686EA8"/>
    <w:rsid w:val="006B65D0"/>
    <w:rsid w:val="007011BD"/>
    <w:rsid w:val="00737A93"/>
    <w:rsid w:val="00742563"/>
    <w:rsid w:val="00774A9C"/>
    <w:rsid w:val="007A62D7"/>
    <w:rsid w:val="007B2E97"/>
    <w:rsid w:val="007E5FBD"/>
    <w:rsid w:val="007F0A00"/>
    <w:rsid w:val="00800C6B"/>
    <w:rsid w:val="0081225A"/>
    <w:rsid w:val="0081392A"/>
    <w:rsid w:val="008146D9"/>
    <w:rsid w:val="00823188"/>
    <w:rsid w:val="008353DD"/>
    <w:rsid w:val="00870DF2"/>
    <w:rsid w:val="008C2B2A"/>
    <w:rsid w:val="0091140F"/>
    <w:rsid w:val="00924BF2"/>
    <w:rsid w:val="009360DE"/>
    <w:rsid w:val="009372B3"/>
    <w:rsid w:val="00943B75"/>
    <w:rsid w:val="0098020A"/>
    <w:rsid w:val="00987928"/>
    <w:rsid w:val="009E437E"/>
    <w:rsid w:val="00A0019C"/>
    <w:rsid w:val="00A431A3"/>
    <w:rsid w:val="00A60A9E"/>
    <w:rsid w:val="00A74241"/>
    <w:rsid w:val="00A7545D"/>
    <w:rsid w:val="00AA442B"/>
    <w:rsid w:val="00AD65D3"/>
    <w:rsid w:val="00AE72C5"/>
    <w:rsid w:val="00AF6EBB"/>
    <w:rsid w:val="00AF7E5B"/>
    <w:rsid w:val="00B00DA4"/>
    <w:rsid w:val="00B07516"/>
    <w:rsid w:val="00B10B77"/>
    <w:rsid w:val="00B31B5B"/>
    <w:rsid w:val="00BC32E8"/>
    <w:rsid w:val="00BD1371"/>
    <w:rsid w:val="00C217DD"/>
    <w:rsid w:val="00C43F6D"/>
    <w:rsid w:val="00C56390"/>
    <w:rsid w:val="00C92258"/>
    <w:rsid w:val="00CC6243"/>
    <w:rsid w:val="00CD0222"/>
    <w:rsid w:val="00CD2CB3"/>
    <w:rsid w:val="00D03FD2"/>
    <w:rsid w:val="00D2753C"/>
    <w:rsid w:val="00DA6654"/>
    <w:rsid w:val="00DA7033"/>
    <w:rsid w:val="00DD26D3"/>
    <w:rsid w:val="00DE3557"/>
    <w:rsid w:val="00E05352"/>
    <w:rsid w:val="00E20092"/>
    <w:rsid w:val="00E25A22"/>
    <w:rsid w:val="00E43C3D"/>
    <w:rsid w:val="00E4455A"/>
    <w:rsid w:val="00E56833"/>
    <w:rsid w:val="00E71CB7"/>
    <w:rsid w:val="00EC3BBE"/>
    <w:rsid w:val="00EE2A12"/>
    <w:rsid w:val="00F0067F"/>
    <w:rsid w:val="00F114E7"/>
    <w:rsid w:val="00F313E5"/>
    <w:rsid w:val="00F34368"/>
    <w:rsid w:val="00F3460F"/>
    <w:rsid w:val="00F44BAD"/>
    <w:rsid w:val="00F51F54"/>
    <w:rsid w:val="00F74C5F"/>
    <w:rsid w:val="00F9010E"/>
    <w:rsid w:val="00FA0F95"/>
    <w:rsid w:val="00FC4262"/>
    <w:rsid w:val="00FD3750"/>
    <w:rsid w:val="00FE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37FA7-9D2C-4102-BC00-4D5A26AD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1282</Words>
  <Characters>7567</Characters>
  <Application>Microsoft Office Word</Application>
  <DocSecurity>4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cp:lastPrinted>2015-04-01T16:23:00Z</cp:lastPrinted>
  <dcterms:created xsi:type="dcterms:W3CDTF">2015-04-01T16:26:00Z</dcterms:created>
  <dcterms:modified xsi:type="dcterms:W3CDTF">2015-04-01T16:26:00Z</dcterms:modified>
</cp:coreProperties>
</file>